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202</w:t>
      </w:r>
      <w:r>
        <w:rPr>
          <w:rFonts w:hint="eastAsia" w:asciiTheme="majorEastAsia" w:hAnsiTheme="majorEastAsia" w:eastAsiaTheme="majorEastAsia" w:cstheme="majorEastAsia"/>
          <w:b/>
          <w:bCs/>
          <w:w w:val="85"/>
          <w:kern w:val="0"/>
          <w:sz w:val="44"/>
          <w:szCs w:val="44"/>
          <w:lang w:val="en-US" w:eastAsia="zh-CN"/>
        </w:rPr>
        <w:t>3</w:t>
      </w:r>
      <w:r>
        <w:rPr>
          <w:rFonts w:hint="eastAsia" w:asciiTheme="majorEastAsia" w:hAnsiTheme="majorEastAsia" w:eastAsiaTheme="majorEastAsia" w:cstheme="majorEastAsia"/>
          <w:b/>
          <w:bCs/>
          <w:w w:val="85"/>
          <w:kern w:val="0"/>
          <w:sz w:val="44"/>
          <w:szCs w:val="44"/>
        </w:rPr>
        <w:t>年度新晃县住建局财政支出项目         （</w:t>
      </w:r>
      <w:r>
        <w:rPr>
          <w:rFonts w:hint="eastAsia" w:asciiTheme="majorEastAsia" w:hAnsiTheme="majorEastAsia" w:eastAsiaTheme="majorEastAsia" w:cstheme="majorEastAsia"/>
          <w:b/>
          <w:bCs/>
          <w:w w:val="85"/>
          <w:kern w:val="0"/>
          <w:sz w:val="44"/>
          <w:szCs w:val="44"/>
          <w:lang w:val="en-US" w:eastAsia="zh-CN"/>
        </w:rPr>
        <w:t>专项业务经费</w:t>
      </w:r>
      <w:r>
        <w:rPr>
          <w:rFonts w:hint="eastAsia" w:asciiTheme="majorEastAsia" w:hAnsiTheme="majorEastAsia" w:eastAsiaTheme="majorEastAsia" w:cstheme="majorEastAsia"/>
          <w:b/>
          <w:bCs/>
          <w:w w:val="85"/>
          <w:kern w:val="0"/>
          <w:sz w:val="44"/>
          <w:szCs w:val="44"/>
        </w:rPr>
        <w:t>）绩效自评报告</w:t>
      </w:r>
    </w:p>
    <w:p>
      <w:pPr>
        <w:spacing w:line="560" w:lineRule="exact"/>
        <w:ind w:firstLine="562" w:firstLineChars="200"/>
        <w:jc w:val="left"/>
        <w:rPr>
          <w:rFonts w:eastAsia="仿宋_GB2312"/>
          <w:b/>
          <w:bCs/>
          <w:sz w:val="32"/>
          <w:szCs w:val="32"/>
        </w:rPr>
      </w:pPr>
      <w:r>
        <w:rPr>
          <w:rFonts w:eastAsia="仿宋_GB2312"/>
          <w:b/>
          <w:sz w:val="28"/>
          <w:szCs w:val="28"/>
        </w:rPr>
        <w:t>一、</w:t>
      </w:r>
      <w:r>
        <w:rPr>
          <w:rFonts w:hint="eastAsia" w:eastAsia="仿宋_GB2312"/>
          <w:b/>
          <w:bCs/>
          <w:sz w:val="32"/>
          <w:szCs w:val="32"/>
        </w:rPr>
        <w:t>基本情况</w:t>
      </w:r>
    </w:p>
    <w:p>
      <w:pPr>
        <w:spacing w:line="560" w:lineRule="exact"/>
        <w:ind w:left="420" w:leftChars="200"/>
        <w:jc w:val="left"/>
        <w:rPr>
          <w:rFonts w:eastAsia="仿宋_GB2312"/>
          <w:b/>
          <w:bCs/>
          <w:sz w:val="32"/>
          <w:szCs w:val="32"/>
        </w:rPr>
      </w:pPr>
      <w:r>
        <w:rPr>
          <w:rFonts w:hint="eastAsia" w:eastAsia="仿宋_GB2312"/>
          <w:sz w:val="32"/>
          <w:szCs w:val="32"/>
        </w:rPr>
        <w:t>（一）项目概况。</w:t>
      </w:r>
    </w:p>
    <w:p>
      <w:pPr>
        <w:pStyle w:val="5"/>
        <w:widowControl w:val="0"/>
        <w:spacing w:before="0" w:beforeAutospacing="0" w:after="0" w:afterAutospacing="0" w:line="500" w:lineRule="exact"/>
        <w:ind w:firstLine="480"/>
        <w:rPr>
          <w:rFonts w:ascii="仿宋_GB2312" w:eastAsia="仿宋_GB2312"/>
          <w:sz w:val="32"/>
          <w:szCs w:val="32"/>
        </w:rPr>
      </w:pPr>
      <w:r>
        <w:rPr>
          <w:rFonts w:hint="eastAsia" w:ascii="仿宋_GB2312" w:eastAsia="仿宋_GB2312"/>
          <w:sz w:val="32"/>
          <w:szCs w:val="32"/>
        </w:rPr>
        <w:t>县住建局紧紧围绕县委政府“强工壮农、兴城活旅、生态和谐、协调发展”的总体思路，以新型城镇化为统揽，以乡村振兴为平台，以重点项目建设为抓手，以改革创新和机制建设为导向，统筹推进党建核心引领、城乡基础设施建设、城市功能提升、人居环境改善、行政管理规范，全面完成县委政府既定工作目标。</w:t>
      </w:r>
    </w:p>
    <w:p>
      <w:pPr>
        <w:numPr>
          <w:ilvl w:val="0"/>
          <w:numId w:val="1"/>
        </w:numPr>
        <w:spacing w:line="560" w:lineRule="exact"/>
        <w:ind w:firstLine="640" w:firstLineChars="200"/>
        <w:jc w:val="left"/>
        <w:rPr>
          <w:rFonts w:eastAsia="仿宋_GB2312"/>
          <w:sz w:val="32"/>
          <w:szCs w:val="32"/>
        </w:rPr>
      </w:pPr>
      <w:r>
        <w:rPr>
          <w:rFonts w:hint="eastAsia" w:eastAsia="仿宋_GB2312"/>
          <w:sz w:val="32"/>
          <w:szCs w:val="32"/>
        </w:rPr>
        <w:t>项目绩效目标。</w:t>
      </w:r>
    </w:p>
    <w:p>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hint="eastAsia" w:ascii="仿宋_GB2312" w:eastAsia="仿宋_GB2312"/>
          <w:color w:val="000000"/>
          <w:sz w:val="32"/>
          <w:szCs w:val="32"/>
        </w:rPr>
        <w:t>1、项目绩效总目标：</w:t>
      </w:r>
      <w:r>
        <w:rPr>
          <w:rFonts w:ascii="仿宋_GB2312" w:eastAsia="仿宋_GB2312" w:cs="仿宋_GB2312"/>
          <w:color w:val="000000"/>
          <w:sz w:val="31"/>
          <w:szCs w:val="31"/>
          <w:shd w:val="clear" w:color="auto" w:fill="FFFFFF"/>
        </w:rPr>
        <w:t>公用支出经费开支用于购买日常办公经费、工作人员福利费等方面，对日常办公提供经费保障，有利于各项工作顺利开展。</w:t>
      </w:r>
    </w:p>
    <w:p>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hint="eastAsia" w:ascii="仿宋_GB2312" w:eastAsia="仿宋_GB2312"/>
          <w:color w:val="000000"/>
          <w:sz w:val="32"/>
          <w:szCs w:val="32"/>
        </w:rPr>
        <w:t>2、项目绩效阶段性目标:</w:t>
      </w:r>
      <w:r>
        <w:rPr>
          <w:rFonts w:ascii="仿宋_GB2312" w:eastAsia="仿宋_GB2312" w:cs="仿宋_GB2312"/>
          <w:color w:val="000000"/>
          <w:sz w:val="31"/>
          <w:szCs w:val="31"/>
          <w:shd w:val="clear" w:color="auto" w:fill="FFFFFF"/>
        </w:rPr>
        <w:t>保障单位日常运转，提高预算编制质量，严格执行预算。</w:t>
      </w:r>
    </w:p>
    <w:p>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hint="eastAsia" w:eastAsia="仿宋_GB2312"/>
          <w:b/>
          <w:bCs/>
          <w:sz w:val="32"/>
          <w:szCs w:val="32"/>
        </w:rPr>
        <w:t>二、绩效评价工作开展情况</w:t>
      </w:r>
    </w:p>
    <w:p>
      <w:pPr>
        <w:spacing w:line="600" w:lineRule="exact"/>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通过202</w:t>
      </w:r>
      <w:r>
        <w:rPr>
          <w:rFonts w:hint="eastAsia" w:ascii="仿宋_GB2312" w:eastAsia="仿宋_GB2312"/>
          <w:color w:val="000000"/>
          <w:kern w:val="0"/>
          <w:sz w:val="32"/>
          <w:szCs w:val="32"/>
          <w:lang w:val="en-US" w:eastAsia="zh-CN"/>
        </w:rPr>
        <w:t>3</w:t>
      </w:r>
      <w:r>
        <w:rPr>
          <w:rFonts w:hint="eastAsia" w:ascii="仿宋_GB2312" w:eastAsia="仿宋_GB2312"/>
          <w:color w:val="000000"/>
          <w:kern w:val="0"/>
          <w:sz w:val="32"/>
          <w:szCs w:val="32"/>
        </w:rPr>
        <w:t>年度公用经费运转及其他费用项目绩效的绩效评价,了解202</w:t>
      </w:r>
      <w:r>
        <w:rPr>
          <w:rFonts w:hint="eastAsia" w:ascii="仿宋_GB2312" w:eastAsia="仿宋_GB2312"/>
          <w:color w:val="000000"/>
          <w:kern w:val="0"/>
          <w:sz w:val="32"/>
          <w:szCs w:val="32"/>
          <w:lang w:val="en-US" w:eastAsia="zh-CN"/>
        </w:rPr>
        <w:t>3</w:t>
      </w:r>
      <w:r>
        <w:rPr>
          <w:rFonts w:hint="eastAsia" w:ascii="仿宋_GB2312" w:eastAsia="仿宋_GB2312"/>
          <w:color w:val="000000"/>
          <w:kern w:val="0"/>
          <w:sz w:val="32"/>
          <w:szCs w:val="32"/>
        </w:rPr>
        <w:t>年度公用经费运转及其他费用项目经费的来源、使用和管理情况，项目的组织实施及事后的监督情况;评价公用经费运转及其他费用项目经费使用是否达到预期目标,总结经验,分析问题,强化公用经费运转及其他费用项目经费的管理,为以后公用经费运转及其他费用项目经费管理和预算安排提供参考依据。同时，及时总结经验，分析存在的问题，采取切实措施进一步改进和增强财政支出项目管理，切实提高资金使用效益。</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1、绩效评价原则</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2、评价指标体系（附表说明）</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年度新晃县项目绩效自评计分标准</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3、评价方法</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4、评价标准</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（三）绩效评价过程</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根据晃财绩[202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]2号《关于开展202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年度部门预算支出绩效自评工作的通知》，本次绩效评价重点评价</w:t>
      </w:r>
      <w:r>
        <w:rPr>
          <w:rFonts w:hint="eastAsia" w:ascii="仿宋_GB2312" w:eastAsia="仿宋_GB2312"/>
          <w:color w:val="000000"/>
          <w:kern w:val="0"/>
          <w:sz w:val="32"/>
          <w:szCs w:val="32"/>
        </w:rPr>
        <w:t>公用经费运转及其他费用</w:t>
      </w:r>
      <w:r>
        <w:rPr>
          <w:rFonts w:hint="eastAsia" w:ascii="仿宋_GB2312" w:eastAsia="仿宋_GB2312"/>
          <w:color w:val="000000"/>
          <w:sz w:val="32"/>
          <w:szCs w:val="32"/>
        </w:rPr>
        <w:t>项目资金的绩效情况，填报绩效项目自评申报表，在对所有取得的资料进行分析整理的基础上按照规定格式编写绩效评价工作报告，然后按照绩效评价资料清单上报县财政局。</w:t>
      </w:r>
    </w:p>
    <w:p>
      <w:pPr>
        <w:pStyle w:val="5"/>
        <w:widowControl w:val="0"/>
        <w:spacing w:before="0" w:beforeAutospacing="0" w:after="0" w:afterAutospacing="0" w:line="500" w:lineRule="exact"/>
        <w:ind w:firstLine="480"/>
        <w:rPr>
          <w:rFonts w:eastAsia="仿宋_GB2312"/>
          <w:b/>
          <w:bCs/>
          <w:sz w:val="32"/>
          <w:szCs w:val="32"/>
        </w:rPr>
      </w:pPr>
      <w:r>
        <w:rPr>
          <w:rFonts w:hint="eastAsia" w:eastAsia="仿宋_GB2312"/>
          <w:b/>
          <w:bCs/>
          <w:sz w:val="32"/>
          <w:szCs w:val="32"/>
        </w:rPr>
        <w:t>三、综合评价情况及评价结论（附相关评分表）</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（一）项目绩效情况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1.完成了预期绩效目标任务</w:t>
      </w:r>
    </w:p>
    <w:p>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项目资金预算可用额度</w:t>
      </w:r>
      <w:r>
        <w:rPr>
          <w:rFonts w:hint="eastAsia" w:ascii="仿宋_GB2312" w:eastAsia="仿宋_GB2312" w:cs="仿宋_GB2312"/>
          <w:color w:val="000000"/>
          <w:sz w:val="31"/>
          <w:szCs w:val="31"/>
          <w:shd w:val="clear" w:color="auto" w:fill="FFFFFF"/>
          <w:lang w:val="en-US" w:eastAsia="zh-CN"/>
        </w:rPr>
        <w:t>66</w:t>
      </w:r>
      <w:r>
        <w:rPr>
          <w:rFonts w:hint="eastAsia" w:ascii="仿宋_GB2312" w:eastAsia="仿宋_GB2312" w:cs="仿宋_GB2312"/>
          <w:color w:val="000000"/>
          <w:sz w:val="31"/>
          <w:szCs w:val="31"/>
          <w:shd w:val="clear" w:color="auto" w:fill="FFFFFF"/>
        </w:rPr>
        <w:t>8000</w:t>
      </w:r>
      <w:r>
        <w:rPr>
          <w:rFonts w:ascii="仿宋_GB2312" w:eastAsia="仿宋_GB2312" w:cs="仿宋_GB2312"/>
          <w:color w:val="000000"/>
          <w:sz w:val="31"/>
          <w:szCs w:val="31"/>
          <w:shd w:val="clear" w:color="auto" w:fill="FFFFFF"/>
        </w:rPr>
        <w:t>元，完成数</w:t>
      </w:r>
      <w:r>
        <w:rPr>
          <w:rFonts w:hint="eastAsia" w:ascii="仿宋_GB2312" w:eastAsia="仿宋_GB2312" w:cs="仿宋_GB2312"/>
          <w:color w:val="000000"/>
          <w:sz w:val="31"/>
          <w:szCs w:val="31"/>
          <w:shd w:val="clear" w:color="auto" w:fill="FFFFFF"/>
          <w:lang w:val="en-US" w:eastAsia="zh-CN"/>
        </w:rPr>
        <w:t>66</w:t>
      </w:r>
      <w:r>
        <w:rPr>
          <w:rFonts w:hint="eastAsia" w:ascii="仿宋_GB2312" w:eastAsia="仿宋_GB2312" w:cs="仿宋_GB2312"/>
          <w:color w:val="000000"/>
          <w:sz w:val="31"/>
          <w:szCs w:val="31"/>
          <w:shd w:val="clear" w:color="auto" w:fill="FFFFFF"/>
        </w:rPr>
        <w:t>8000</w:t>
      </w:r>
      <w:r>
        <w:rPr>
          <w:rFonts w:ascii="仿宋_GB2312" w:eastAsia="仿宋_GB2312" w:cs="仿宋_GB2312"/>
          <w:color w:val="000000"/>
          <w:sz w:val="31"/>
          <w:szCs w:val="31"/>
          <w:shd w:val="clear" w:color="auto" w:fill="FFFFFF"/>
        </w:rPr>
        <w:t>元，占预算近乎100%。</w:t>
      </w:r>
    </w:p>
    <w:p>
      <w:pPr>
        <w:spacing w:line="600" w:lineRule="exact"/>
        <w:ind w:left="420" w:leftChars="200"/>
        <w:rPr>
          <w:rFonts w:ascii="仿宋_GB2312" w:eastAsia="仿宋_GB2312"/>
          <w:color w:val="000000"/>
          <w:sz w:val="32"/>
          <w:szCs w:val="32"/>
        </w:rPr>
      </w:pPr>
      <w:r>
        <w:rPr>
          <w:rFonts w:hint="eastAsia" w:ascii="仿宋_GB2312" w:hAnsi="仿宋_GB2312" w:eastAsia="仿宋_GB2312" w:cs="仿宋_GB2312"/>
          <w:sz w:val="32"/>
          <w:szCs w:val="32"/>
        </w:rPr>
        <w:t>2、</w:t>
      </w:r>
      <w:r>
        <w:rPr>
          <w:rFonts w:hint="eastAsia" w:ascii="仿宋_GB2312" w:eastAsia="仿宋_GB2312"/>
          <w:color w:val="000000"/>
          <w:sz w:val="32"/>
          <w:szCs w:val="32"/>
        </w:rPr>
        <w:t>项目的可持续性分析</w:t>
      </w:r>
    </w:p>
    <w:p>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公用经费是延续性项目，需要后续的资金支持，为局日常工作运转提供资金保障。</w:t>
      </w:r>
    </w:p>
    <w:p>
      <w:pPr>
        <w:spacing w:line="600" w:lineRule="exact"/>
        <w:ind w:left="420" w:leftChars="200"/>
        <w:rPr>
          <w:rFonts w:ascii="仿宋_GB2312" w:eastAsia="仿宋_GB2312"/>
          <w:color w:val="000000"/>
          <w:sz w:val="32"/>
          <w:szCs w:val="32"/>
        </w:rPr>
      </w:pPr>
      <w:r>
        <w:rPr>
          <w:rFonts w:hint="eastAsia" w:ascii="仿宋_GB2312" w:eastAsia="仿宋_GB2312"/>
          <w:color w:val="000000"/>
          <w:sz w:val="32"/>
          <w:szCs w:val="32"/>
        </w:rPr>
        <w:t>（二）评价结论（附相关评分表）</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根据对</w:t>
      </w:r>
      <w:r>
        <w:rPr>
          <w:rFonts w:hint="eastAsia" w:ascii="仿宋_GB2312" w:eastAsia="仿宋_GB2312"/>
          <w:color w:val="000000"/>
          <w:kern w:val="0"/>
          <w:sz w:val="32"/>
          <w:szCs w:val="32"/>
        </w:rPr>
        <w:t>公用经费运转及其他费用</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年项目支出绩效评价指标体系和绩效情况的检查，2022年</w:t>
      </w:r>
      <w:r>
        <w:rPr>
          <w:rFonts w:hint="eastAsia" w:ascii="仿宋_GB2312" w:eastAsia="仿宋_GB2312"/>
          <w:color w:val="000000"/>
          <w:kern w:val="0"/>
          <w:sz w:val="32"/>
          <w:szCs w:val="32"/>
        </w:rPr>
        <w:t>公用经费运转及其他费用</w:t>
      </w:r>
      <w:r>
        <w:rPr>
          <w:rFonts w:hint="eastAsia" w:ascii="仿宋_GB2312" w:eastAsia="仿宋_GB2312"/>
          <w:color w:val="000000"/>
          <w:sz w:val="32"/>
          <w:szCs w:val="32"/>
        </w:rPr>
        <w:t>项目支出绩效自评分98分，为“优秀”等级（附件2-1）。</w:t>
      </w:r>
    </w:p>
    <w:p>
      <w:pPr>
        <w:spacing w:line="600" w:lineRule="exact"/>
        <w:ind w:firstLine="643" w:firstLineChars="200"/>
        <w:rPr>
          <w:rFonts w:ascii="仿宋_GB2312" w:eastAsia="仿宋_GB2312"/>
          <w:b/>
          <w:bCs/>
          <w:color w:val="000000"/>
          <w:sz w:val="32"/>
          <w:szCs w:val="32"/>
        </w:rPr>
      </w:pPr>
      <w:r>
        <w:rPr>
          <w:rFonts w:hint="eastAsia" w:ascii="仿宋_GB2312" w:eastAsia="仿宋_GB2312"/>
          <w:b/>
          <w:bCs/>
          <w:color w:val="000000"/>
          <w:sz w:val="32"/>
          <w:szCs w:val="32"/>
        </w:rPr>
        <w:t>四、绩效评价指标分析</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（一）项目决策情况。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p>
    <w:p>
      <w:pPr>
        <w:pStyle w:val="2"/>
        <w:ind w:left="420" w:leftChars="200"/>
        <w:rPr>
          <w:b w:val="0"/>
          <w:bCs/>
        </w:rPr>
      </w:pPr>
      <w:r>
        <w:rPr>
          <w:rFonts w:hint="eastAsia" w:ascii="仿宋_GB2312" w:eastAsia="仿宋_GB2312"/>
          <w:b w:val="0"/>
          <w:bCs/>
          <w:color w:val="000000"/>
          <w:sz w:val="32"/>
          <w:szCs w:val="32"/>
        </w:rPr>
        <w:t>（二）项目过程情况。</w:t>
      </w:r>
    </w:p>
    <w:p>
      <w:pPr>
        <w:pStyle w:val="5"/>
        <w:widowControl w:val="0"/>
        <w:spacing w:before="0" w:beforeAutospacing="0" w:after="0" w:afterAutospacing="0" w:line="500" w:lineRule="exact"/>
        <w:ind w:firstLine="480"/>
        <w:rPr>
          <w:rFonts w:hint="eastAsia"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进一步强化资金的分配、使用、管理等关键环节的事前防范、事中控制、事后监督，努力提高项目资金配置效率，在制度建设方面，紧扣制度建设重点，围绕预算编制、预算执行、支付管理、监督保障等方面，狠抓内部管理、不断建立完善了各项规章制度，建立用制度</w:t>
      </w:r>
      <w:r>
        <w:rPr>
          <w:rFonts w:hint="eastAsia" w:ascii="仿宋_GB2312" w:eastAsia="仿宋_GB2312" w:cs="仿宋_GB2312"/>
          <w:color w:val="000000"/>
          <w:sz w:val="31"/>
          <w:szCs w:val="31"/>
          <w:shd w:val="clear" w:color="auto" w:fill="FFFFFF"/>
          <w:lang w:eastAsia="zh-CN"/>
        </w:rPr>
        <w:t>管</w:t>
      </w:r>
      <w:r>
        <w:rPr>
          <w:rFonts w:ascii="仿宋_GB2312" w:eastAsia="仿宋_GB2312" w:cs="仿宋_GB2312"/>
          <w:color w:val="000000"/>
          <w:sz w:val="31"/>
          <w:szCs w:val="31"/>
          <w:shd w:val="clear" w:color="auto" w:fill="FFFFFF"/>
        </w:rPr>
        <w:t>人、管事、管财的长效机制，并在实际工作中不断健全完善管理办法和内控制度，认真贯彻执行，确保资金使用的安全、合规。在预算执行管理方面，切实履行预算管理职责，加强预算执行的监督管理，维护预算的严肃性，按照财政预算执行进度要求，定期通报预算执行进度情况，分析解决预算执行中存在的问题根据预算项目用途，确保专款专用，加快预算执行进度</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（三）项目产出情况。</w:t>
      </w:r>
    </w:p>
    <w:p>
      <w:pPr>
        <w:pStyle w:val="5"/>
        <w:widowControl w:val="0"/>
        <w:spacing w:before="0" w:beforeAutospacing="0" w:after="0" w:afterAutospacing="0" w:line="50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该项目年初预算</w:t>
      </w:r>
      <w:r>
        <w:rPr>
          <w:rFonts w:hint="eastAsia" w:ascii="仿宋_GB2312" w:eastAsia="仿宋_GB2312" w:cs="仿宋_GB2312"/>
          <w:color w:val="000000"/>
          <w:sz w:val="31"/>
          <w:szCs w:val="31"/>
          <w:shd w:val="clear" w:color="auto" w:fill="FFFFFF"/>
          <w:lang w:val="en-US" w:eastAsia="zh-CN"/>
        </w:rPr>
        <w:t>66</w:t>
      </w:r>
      <w:r>
        <w:rPr>
          <w:rFonts w:hint="eastAsia" w:ascii="仿宋_GB2312" w:eastAsia="仿宋_GB2312" w:cs="仿宋_GB2312"/>
          <w:color w:val="000000"/>
          <w:sz w:val="31"/>
          <w:szCs w:val="31"/>
          <w:shd w:val="clear" w:color="auto" w:fill="FFFFFF"/>
        </w:rPr>
        <w:t>8000元，主要任务是</w:t>
      </w:r>
      <w:r>
        <w:rPr>
          <w:rFonts w:ascii="仿宋_GB2312" w:eastAsia="仿宋_GB2312" w:cs="仿宋_GB2312"/>
          <w:color w:val="000000"/>
          <w:sz w:val="31"/>
          <w:szCs w:val="31"/>
          <w:shd w:val="clear" w:color="auto" w:fill="FFFFFF"/>
        </w:rPr>
        <w:t>保障单位日常运转，提高预算编制质量，严格执行预算。该项目工作圆满完成。</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（四）项目效益情况。</w:t>
      </w:r>
    </w:p>
    <w:p>
      <w:pPr>
        <w:pStyle w:val="5"/>
        <w:widowControl w:val="0"/>
        <w:spacing w:before="0" w:beforeAutospacing="0" w:after="0" w:afterAutospacing="0" w:line="500" w:lineRule="exact"/>
        <w:ind w:firstLine="480"/>
        <w:rPr>
          <w:rFonts w:ascii="仿宋" w:hAnsi="仿宋" w:eastAsia="仿宋" w:cs="仿宋"/>
          <w:bCs/>
          <w:sz w:val="32"/>
          <w:szCs w:val="32"/>
        </w:rPr>
      </w:pPr>
      <w:r>
        <w:rPr>
          <w:rFonts w:hint="eastAsia" w:ascii="仿宋" w:hAnsi="仿宋" w:eastAsia="仿宋" w:cs="仿宋"/>
          <w:bCs/>
          <w:sz w:val="32"/>
          <w:szCs w:val="32"/>
        </w:rPr>
        <w:t>群众满意度显著提高</w:t>
      </w:r>
    </w:p>
    <w:p>
      <w:pPr>
        <w:spacing w:line="560" w:lineRule="exact"/>
        <w:ind w:firstLine="643" w:firstLineChars="200"/>
        <w:jc w:val="left"/>
        <w:rPr>
          <w:rFonts w:eastAsia="仿宋_GB2312"/>
          <w:b/>
          <w:bCs/>
          <w:sz w:val="32"/>
          <w:szCs w:val="32"/>
        </w:rPr>
      </w:pPr>
      <w:r>
        <w:rPr>
          <w:rFonts w:hint="eastAsia" w:eastAsia="仿宋_GB2312"/>
          <w:b/>
          <w:bCs/>
          <w:sz w:val="32"/>
          <w:szCs w:val="32"/>
        </w:rPr>
        <w:t>五、主要经验及做法、存在的问题及原因分析</w:t>
      </w:r>
    </w:p>
    <w:p>
      <w:pPr>
        <w:pStyle w:val="5"/>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一</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是完善相关制度，强化项目实施过程的管理和监督，才能使项目顺利进行和保证质量。</w:t>
      </w:r>
    </w:p>
    <w:p>
      <w:pPr>
        <w:pStyle w:val="5"/>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二</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是加强资金管理，确保资金使用规范、合法。</w:t>
      </w:r>
    </w:p>
    <w:p>
      <w:pPr>
        <w:numPr>
          <w:ilvl w:val="0"/>
          <w:numId w:val="2"/>
        </w:numPr>
        <w:rPr>
          <w:rFonts w:ascii="仿宋" w:hAnsi="仿宋" w:eastAsia="仿宋" w:cs="仿宋"/>
          <w:b/>
          <w:bCs/>
          <w:sz w:val="28"/>
          <w:szCs w:val="28"/>
        </w:rPr>
      </w:pPr>
      <w:r>
        <w:rPr>
          <w:rFonts w:hint="eastAsia" w:ascii="仿宋" w:hAnsi="仿宋" w:eastAsia="仿宋" w:cs="仿宋"/>
          <w:b/>
          <w:bCs/>
          <w:sz w:val="28"/>
          <w:szCs w:val="28"/>
        </w:rPr>
        <w:t>有关建议</w:t>
      </w:r>
      <w:bookmarkStart w:id="0" w:name="_GoBack"/>
      <w:bookmarkEnd w:id="0"/>
    </w:p>
    <w:p>
      <w:pPr>
        <w:pStyle w:val="5"/>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hint="eastAsia" w:ascii="仿宋_GB2312" w:eastAsia="仿宋_GB2312" w:cs="仿宋_GB2312"/>
          <w:color w:val="000000"/>
          <w:sz w:val="31"/>
          <w:szCs w:val="31"/>
          <w:shd w:val="clear" w:color="auto" w:fill="FFFFFF"/>
        </w:rPr>
        <w:t>无</w:t>
      </w:r>
    </w:p>
    <w:p>
      <w:pPr>
        <w:spacing w:line="500" w:lineRule="exact"/>
        <w:ind w:firstLine="4480" w:firstLineChars="1600"/>
        <w:rPr>
          <w:rFonts w:eastAsia="仿宋_GB2312"/>
          <w:kern w:val="0"/>
          <w:sz w:val="28"/>
          <w:szCs w:val="28"/>
        </w:rPr>
      </w:pPr>
      <w:r>
        <w:rPr>
          <w:rFonts w:hint="eastAsia" w:eastAsia="仿宋_GB2312"/>
          <w:kern w:val="0"/>
          <w:sz w:val="28"/>
          <w:szCs w:val="28"/>
        </w:rPr>
        <w:t>新晃县住房和城乡建设局</w:t>
      </w:r>
      <w:r>
        <w:rPr>
          <w:rFonts w:eastAsia="仿宋_GB2312"/>
          <w:kern w:val="0"/>
          <w:sz w:val="28"/>
          <w:szCs w:val="28"/>
        </w:rPr>
        <w:t xml:space="preserve">                  </w:t>
      </w:r>
    </w:p>
    <w:p>
      <w:pPr>
        <w:spacing w:line="500" w:lineRule="exact"/>
        <w:ind w:firstLine="4760" w:firstLineChars="1700"/>
        <w:rPr>
          <w:rFonts w:eastAsia="仿宋_GB2312"/>
          <w:kern w:val="0"/>
          <w:sz w:val="28"/>
          <w:szCs w:val="28"/>
        </w:rPr>
      </w:pPr>
      <w:r>
        <w:rPr>
          <w:rFonts w:eastAsia="仿宋_GB2312"/>
          <w:kern w:val="0"/>
          <w:sz w:val="28"/>
          <w:szCs w:val="28"/>
        </w:rPr>
        <w:t xml:space="preserve"> </w:t>
      </w:r>
      <w:r>
        <w:rPr>
          <w:rFonts w:hint="eastAsia" w:eastAsia="仿宋_GB2312"/>
          <w:kern w:val="0"/>
          <w:sz w:val="28"/>
          <w:szCs w:val="28"/>
        </w:rPr>
        <w:t xml:space="preserve"> 202</w:t>
      </w:r>
      <w:r>
        <w:rPr>
          <w:rFonts w:hint="eastAsia" w:eastAsia="仿宋_GB2312"/>
          <w:kern w:val="0"/>
          <w:sz w:val="28"/>
          <w:szCs w:val="28"/>
          <w:lang w:val="en-US" w:eastAsia="zh-CN"/>
        </w:rPr>
        <w:t>4</w:t>
      </w:r>
      <w:r>
        <w:rPr>
          <w:rFonts w:eastAsia="仿宋_GB2312"/>
          <w:kern w:val="0"/>
          <w:sz w:val="28"/>
          <w:szCs w:val="28"/>
        </w:rPr>
        <w:t>年</w:t>
      </w:r>
      <w:r>
        <w:rPr>
          <w:rFonts w:hint="eastAsia" w:eastAsia="仿宋_GB2312"/>
          <w:kern w:val="0"/>
          <w:sz w:val="28"/>
          <w:szCs w:val="28"/>
          <w:lang w:val="en-US" w:eastAsia="zh-CN"/>
        </w:rPr>
        <w:t>4</w:t>
      </w:r>
      <w:r>
        <w:rPr>
          <w:rFonts w:eastAsia="仿宋_GB2312"/>
          <w:kern w:val="0"/>
          <w:sz w:val="28"/>
          <w:szCs w:val="28"/>
        </w:rPr>
        <w:t xml:space="preserve">月 </w:t>
      </w:r>
      <w:r>
        <w:rPr>
          <w:rFonts w:hint="eastAsia" w:eastAsia="仿宋_GB2312"/>
          <w:kern w:val="0"/>
          <w:sz w:val="28"/>
          <w:szCs w:val="28"/>
        </w:rPr>
        <w:t>1</w:t>
      </w:r>
      <w:r>
        <w:rPr>
          <w:rFonts w:hint="eastAsia" w:eastAsia="仿宋_GB2312"/>
          <w:kern w:val="0"/>
          <w:sz w:val="28"/>
          <w:szCs w:val="28"/>
          <w:lang w:val="en-US" w:eastAsia="zh-CN"/>
        </w:rPr>
        <w:t>1</w:t>
      </w:r>
      <w:r>
        <w:rPr>
          <w:rFonts w:eastAsia="仿宋_GB2312"/>
          <w:kern w:val="0"/>
          <w:sz w:val="28"/>
          <w:szCs w:val="28"/>
        </w:rPr>
        <w:t>日</w:t>
      </w:r>
    </w:p>
    <w:p>
      <w:pPr>
        <w:pStyle w:val="5"/>
        <w:widowControl w:val="0"/>
        <w:spacing w:before="0" w:beforeAutospacing="0" w:after="0" w:afterAutospacing="0" w:line="500" w:lineRule="exact"/>
        <w:rPr>
          <w:rFonts w:ascii="Times New Roman" w:hAnsi="Times New Roman" w:eastAsia="仿宋_GB2312" w:cs="Times New Roman"/>
          <w:sz w:val="28"/>
          <w:szCs w:val="28"/>
        </w:rPr>
      </w:pPr>
    </w:p>
    <w:p>
      <w:pPr>
        <w:spacing w:line="500" w:lineRule="exact"/>
      </w:pPr>
      <w:r>
        <w:rPr>
          <w:rFonts w:eastAsia="仿宋_GB2312"/>
          <w:kern w:val="0"/>
          <w:sz w:val="28"/>
          <w:szCs w:val="28"/>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6F714"/>
    <w:multiLevelType w:val="singleLevel"/>
    <w:tmpl w:val="A1C6F714"/>
    <w:lvl w:ilvl="0" w:tentative="0">
      <w:start w:val="6"/>
      <w:numFmt w:val="chineseCounting"/>
      <w:suff w:val="nothing"/>
      <w:lvlText w:val="%1、"/>
      <w:lvlJc w:val="left"/>
      <w:rPr>
        <w:rFonts w:hint="eastAsia"/>
      </w:rPr>
    </w:lvl>
  </w:abstractNum>
  <w:abstractNum w:abstractNumId="1">
    <w:nsid w:val="BBB34851"/>
    <w:multiLevelType w:val="singleLevel"/>
    <w:tmpl w:val="BBB3485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dkNjgxMzM5NGM1NmRiODZkZTc4MDMxMGNiMTUxYzcifQ=="/>
  </w:docVars>
  <w:rsids>
    <w:rsidRoot w:val="000224F6"/>
    <w:rsid w:val="000224F6"/>
    <w:rsid w:val="0020117E"/>
    <w:rsid w:val="007914BB"/>
    <w:rsid w:val="00AB6C35"/>
    <w:rsid w:val="00D27B69"/>
    <w:rsid w:val="05F30C0F"/>
    <w:rsid w:val="09615510"/>
    <w:rsid w:val="1CC56CA8"/>
    <w:rsid w:val="26044D8F"/>
    <w:rsid w:val="2B0B6B2E"/>
    <w:rsid w:val="2B3D5F00"/>
    <w:rsid w:val="405B48D1"/>
    <w:rsid w:val="519C054F"/>
    <w:rsid w:val="6B861F63"/>
    <w:rsid w:val="6E184592"/>
    <w:rsid w:val="74DC2323"/>
    <w:rsid w:val="7F82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
    <w:name w:val="_Style 4"/>
    <w:basedOn w:val="2"/>
    <w:next w:val="1"/>
    <w:autoRedefine/>
    <w:qFormat/>
    <w:uiPriority w:val="39"/>
    <w:pPr>
      <w:spacing w:before="480" w:after="0" w:line="276" w:lineRule="auto"/>
      <w:jc w:val="center"/>
      <w:outlineLvl w:val="9"/>
    </w:pPr>
    <w:rPr>
      <w:rFonts w:ascii="仿宋" w:hAnsi="仿宋" w:eastAsia="仿宋"/>
      <w:b w:val="0"/>
      <w:color w:val="000000"/>
      <w:kern w:val="0"/>
      <w:sz w:val="32"/>
      <w:szCs w:val="32"/>
    </w:rPr>
  </w:style>
  <w:style w:type="paragraph" w:customStyle="1" w:styleId="9">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0">
    <w:name w:val="No Spacing"/>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1">
    <w:name w:val="页眉 Char"/>
    <w:basedOn w:val="7"/>
    <w:link w:val="4"/>
    <w:autoRedefine/>
    <w:qFormat/>
    <w:uiPriority w:val="0"/>
    <w:rPr>
      <w:kern w:val="2"/>
      <w:sz w:val="18"/>
      <w:szCs w:val="18"/>
    </w:rPr>
  </w:style>
  <w:style w:type="character" w:customStyle="1" w:styleId="12">
    <w:name w:val="页脚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285</Words>
  <Characters>1627</Characters>
  <Lines>13</Lines>
  <Paragraphs>3</Paragraphs>
  <TotalTime>11</TotalTime>
  <ScaleCrop>false</ScaleCrop>
  <LinksUpToDate>false</LinksUpToDate>
  <CharactersWithSpaces>1909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2021-09-09T00:27:00Z</dcterms:created>
  <dc:creator>洪玲</dc:creator>
  <cp:lastModifiedBy>洪玲</cp:lastModifiedBy>
  <dcterms:modified xsi:type="dcterms:W3CDTF">2024-04-19T05:15:15Z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CE5307F7AB0143C09E90F83ABE575809_12</vt:lpwstr>
  </property>
</Properties>
</file>